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040644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040644">
        <w:rPr>
          <w:rFonts w:ascii="Times New Roman" w:hAnsi="Times New Roman" w:cs="Times New Roman"/>
          <w:b/>
          <w:sz w:val="32"/>
          <w:szCs w:val="26"/>
        </w:rPr>
        <w:t xml:space="preserve">Государственное </w:t>
      </w:r>
      <w:r w:rsidR="00040644" w:rsidRPr="00040644">
        <w:rPr>
          <w:rFonts w:ascii="Times New Roman" w:hAnsi="Times New Roman" w:cs="Times New Roman"/>
          <w:b/>
          <w:sz w:val="32"/>
          <w:szCs w:val="26"/>
        </w:rPr>
        <w:t>бюджетное общеобразовательное</w:t>
      </w:r>
      <w:r w:rsidRPr="00040644">
        <w:rPr>
          <w:rFonts w:ascii="Times New Roman" w:hAnsi="Times New Roman" w:cs="Times New Roman"/>
          <w:b/>
          <w:sz w:val="32"/>
          <w:szCs w:val="26"/>
        </w:rPr>
        <w:t xml:space="preserve"> учреждение Ростовской области</w:t>
      </w:r>
    </w:p>
    <w:p w:rsidR="00EC04DF" w:rsidRPr="00040644" w:rsidRDefault="000459D4" w:rsidP="00EC04DF">
      <w:pPr>
        <w:pStyle w:val="Standard"/>
        <w:jc w:val="center"/>
        <w:rPr>
          <w:rFonts w:ascii="Times New Roman" w:hAnsi="Times New Roman" w:cs="Times New Roman"/>
          <w:sz w:val="32"/>
          <w:szCs w:val="26"/>
        </w:rPr>
      </w:pPr>
      <w:r w:rsidRPr="00040644">
        <w:rPr>
          <w:rFonts w:ascii="Times New Roman" w:hAnsi="Times New Roman" w:cs="Times New Roman"/>
          <w:b/>
          <w:sz w:val="32"/>
          <w:szCs w:val="26"/>
        </w:rPr>
        <w:t>«Таганрогский педагогический лицей-интернат»</w:t>
      </w:r>
    </w:p>
    <w:p w:rsidR="00255E6B" w:rsidRPr="00040644" w:rsidRDefault="00255E6B" w:rsidP="00EC04DF">
      <w:pPr>
        <w:pStyle w:val="Standard"/>
        <w:jc w:val="center"/>
        <w:rPr>
          <w:rFonts w:ascii="Times New Roman" w:hAnsi="Times New Roman" w:cs="Times New Roman"/>
          <w:sz w:val="32"/>
          <w:szCs w:val="26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040644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>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6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040644">
        <w:rPr>
          <w:rFonts w:ascii="Times New Roman" w:hAnsi="Times New Roman" w:cs="Times New Roman"/>
          <w:sz w:val="28"/>
          <w:szCs w:val="28"/>
        </w:rPr>
        <w:t>6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040644">
        <w:rPr>
          <w:rFonts w:ascii="Times New Roman" w:hAnsi="Times New Roman" w:cs="Times New Roman"/>
          <w:sz w:val="28"/>
          <w:szCs w:val="28"/>
        </w:rPr>
        <w:t>апрел</w:t>
      </w:r>
      <w:r w:rsidR="003837D2">
        <w:rPr>
          <w:rFonts w:ascii="Times New Roman" w:hAnsi="Times New Roman" w:cs="Times New Roman"/>
          <w:sz w:val="28"/>
          <w:szCs w:val="28"/>
        </w:rPr>
        <w:t>ь</w:t>
      </w:r>
      <w:r w:rsidR="00040644">
        <w:rPr>
          <w:rFonts w:ascii="Times New Roman" w:hAnsi="Times New Roman" w:cs="Times New Roman"/>
          <w:sz w:val="28"/>
          <w:szCs w:val="28"/>
        </w:rPr>
        <w:t>-июн</w:t>
      </w:r>
      <w:r>
        <w:rPr>
          <w:rFonts w:ascii="Times New Roman" w:hAnsi="Times New Roman" w:cs="Times New Roman"/>
          <w:sz w:val="28"/>
          <w:szCs w:val="28"/>
        </w:rPr>
        <w:t>ь 2016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040644">
        <w:rPr>
          <w:rFonts w:ascii="Times New Roman" w:hAnsi="Times New Roman" w:cs="Times New Roman"/>
          <w:sz w:val="28"/>
          <w:szCs w:val="28"/>
        </w:rPr>
        <w:t>апреле-июне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040644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>
        <w:rPr>
          <w:rFonts w:ascii="Times New Roman" w:hAnsi="Times New Roman" w:cs="Times New Roman"/>
          <w:sz w:val="28"/>
          <w:szCs w:val="28"/>
        </w:rPr>
        <w:t>апрель-июнь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>
        <w:rPr>
          <w:rFonts w:ascii="Times New Roman" w:hAnsi="Times New Roman" w:cs="Times New Roman"/>
          <w:sz w:val="28"/>
          <w:szCs w:val="28"/>
        </w:rPr>
        <w:t>отчетам</w:t>
      </w:r>
      <w:r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066D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6D3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 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Рубенко А.Н. и Скрипка Т.В. </w:t>
      </w:r>
      <w:r w:rsidR="003837D2">
        <w:rPr>
          <w:rFonts w:ascii="Times New Roman" w:hAnsi="Times New Roman" w:cs="Times New Roman"/>
          <w:sz w:val="28"/>
          <w:szCs w:val="28"/>
        </w:rPr>
        <w:t xml:space="preserve">выступили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внести изменения в бланк Отчета педагогического работника </w:t>
      </w:r>
      <w:r w:rsidRPr="00D066D3">
        <w:rPr>
          <w:rFonts w:ascii="Times New Roman" w:hAnsi="Times New Roman" w:cs="Times New Roman"/>
          <w:sz w:val="28"/>
          <w:szCs w:val="28"/>
        </w:rPr>
        <w:t>для выплаты надбавки за эффективность деятельности по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в части касающейся </w:t>
      </w:r>
      <w:r w:rsidR="003837D2">
        <w:rPr>
          <w:rFonts w:ascii="Times New Roman" w:hAnsi="Times New Roman" w:cs="Times New Roman"/>
          <w:sz w:val="28"/>
          <w:szCs w:val="28"/>
        </w:rPr>
        <w:t xml:space="preserve">раздела 6: добавить критерий 6.3. «Участие педагогического работника в составе конкурсной комиссии (жюри) на уровне лицея-интерната» (индикатор – количество мероприятий, подтверждение – приказы лицея-интерната, справки заместителя директора в </w:t>
      </w:r>
      <w:proofErr w:type="gramStart"/>
      <w:r w:rsidR="003837D2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3837D2">
        <w:rPr>
          <w:rFonts w:ascii="Times New Roman" w:hAnsi="Times New Roman" w:cs="Times New Roman"/>
          <w:sz w:val="28"/>
          <w:szCs w:val="28"/>
        </w:rPr>
        <w:t xml:space="preserve"> касающейся) с оценкой 10 баллов за каждое мероприятие, критерий 6.4. «Участие педагогического работника в составе комиссии по приему обучающихся в лицей-интернат» (индикатор – количество часов, подтверждение – приказ по лицею-интернату, </w:t>
      </w:r>
      <w:r w:rsidR="003837D2">
        <w:rPr>
          <w:rFonts w:ascii="Times New Roman" w:hAnsi="Times New Roman" w:cs="Times New Roman"/>
          <w:sz w:val="28"/>
          <w:szCs w:val="28"/>
        </w:rPr>
        <w:lastRenderedPageBreak/>
        <w:t>график работы комиссии) с оценкой – 10 баллов</w:t>
      </w:r>
      <w:r w:rsidR="005B449D">
        <w:rPr>
          <w:rFonts w:ascii="Times New Roman" w:hAnsi="Times New Roman" w:cs="Times New Roman"/>
          <w:sz w:val="28"/>
          <w:szCs w:val="28"/>
        </w:rPr>
        <w:t>.</w:t>
      </w:r>
    </w:p>
    <w:p w:rsidR="008847CD" w:rsidRDefault="00A02ECF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предоставила информацию о </w:t>
      </w:r>
      <w:r w:rsidR="005B449D">
        <w:rPr>
          <w:rFonts w:ascii="Times New Roman" w:hAnsi="Times New Roman" w:cs="Times New Roman"/>
          <w:sz w:val="28"/>
          <w:szCs w:val="28"/>
        </w:rPr>
        <w:t xml:space="preserve">количестве отчетов, предоставленных </w:t>
      </w:r>
      <w:r>
        <w:rPr>
          <w:rFonts w:ascii="Times New Roman" w:hAnsi="Times New Roman" w:cs="Times New Roman"/>
          <w:sz w:val="28"/>
          <w:szCs w:val="28"/>
        </w:rPr>
        <w:t>педагогически</w:t>
      </w:r>
      <w:r w:rsidR="005B449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B449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="005B449D">
        <w:rPr>
          <w:rFonts w:ascii="Times New Roman" w:hAnsi="Times New Roman" w:cs="Times New Roman"/>
          <w:sz w:val="28"/>
          <w:szCs w:val="28"/>
        </w:rPr>
        <w:t xml:space="preserve"> (всего на рассмотрение комиссии было предоставлено 34 отчета), среди которых 5 отчетов выполнены на бланках (по критериям) предыдущей редакции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371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A02ECF" w:rsidP="00A02ECF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отчетную документацию педагогических работников Фоменко В.Н., Павленко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Журбиной Г.П., Ромащенко Е.В.</w:t>
      </w:r>
      <w:r w:rsidR="005B449D">
        <w:rPr>
          <w:rFonts w:ascii="Times New Roman" w:hAnsi="Times New Roman" w:cs="Times New Roman"/>
          <w:sz w:val="28"/>
          <w:szCs w:val="28"/>
        </w:rPr>
        <w:t>, выполненную на бланках старого образца,</w:t>
      </w:r>
      <w:r>
        <w:rPr>
          <w:rFonts w:ascii="Times New Roman" w:hAnsi="Times New Roman" w:cs="Times New Roman"/>
          <w:sz w:val="28"/>
          <w:szCs w:val="28"/>
        </w:rPr>
        <w:t xml:space="preserve"> и произвести оценку</w:t>
      </w:r>
      <w:r w:rsidR="005B449D">
        <w:rPr>
          <w:rFonts w:ascii="Times New Roman" w:hAnsi="Times New Roman" w:cs="Times New Roman"/>
          <w:sz w:val="28"/>
          <w:szCs w:val="28"/>
        </w:rPr>
        <w:t xml:space="preserve"> работы по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критериям, указанным в новой редакции бланка отчета.</w:t>
      </w:r>
    </w:p>
    <w:p w:rsidR="00A02ECF" w:rsidRDefault="00A02ECF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02ECF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2EC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A02ECF">
        <w:rPr>
          <w:rFonts w:ascii="Times New Roman" w:hAnsi="Times New Roman" w:cs="Times New Roman"/>
          <w:sz w:val="28"/>
          <w:szCs w:val="28"/>
        </w:rPr>
        <w:t xml:space="preserve">апреле-июне </w:t>
      </w:r>
      <w:r>
        <w:rPr>
          <w:rFonts w:ascii="Times New Roman" w:hAnsi="Times New Roman" w:cs="Times New Roman"/>
          <w:sz w:val="28"/>
          <w:szCs w:val="28"/>
        </w:rPr>
        <w:t xml:space="preserve">2016 года согласно критериям и показателям оценки качества и результативности труда педагогов. </w:t>
      </w:r>
      <w:proofErr w:type="gramEnd"/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Рубенко А.Н. внесла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Федоренко Л.Н., Десятерик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Черкасову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Сергиенко А.С, Рубенко А.Н., Димитренко Л.В., Грищенко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исполняющих обязанности классных руководителей, дополнительными 30 баллами.</w:t>
      </w:r>
    </w:p>
    <w:p w:rsidR="00FB5E03" w:rsidRDefault="0061441E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1189">
          <w:rPr>
            <w:rFonts w:ascii="Times New Roman" w:hAnsi="Times New Roman" w:cs="Times New Roman"/>
            <w:sz w:val="28"/>
            <w:szCs w:val="28"/>
          </w:rPr>
          <w:t>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</w:t>
        </w:r>
        <w:proofErr w:type="gramStart"/>
        <w:r w:rsidRPr="003D1189">
          <w:rPr>
            <w:rFonts w:ascii="Times New Roman" w:hAnsi="Times New Roman" w:cs="Times New Roman"/>
            <w:sz w:val="28"/>
            <w:szCs w:val="28"/>
          </w:rPr>
          <w:t>й-</w:t>
        </w:r>
        <w:proofErr w:type="gramEnd"/>
        <w:r w:rsidRPr="003D1189">
          <w:rPr>
            <w:rFonts w:ascii="Times New Roman" w:hAnsi="Times New Roman" w:cs="Times New Roman"/>
            <w:sz w:val="28"/>
            <w:szCs w:val="28"/>
          </w:rPr>
          <w:t xml:space="preserve"> интернат»</w:t>
        </w:r>
      </w:hyperlink>
      <w:r>
        <w:rPr>
          <w:rFonts w:ascii="Times New Roman" w:hAnsi="Times New Roman" w:cs="Times New Roman"/>
          <w:sz w:val="28"/>
          <w:szCs w:val="28"/>
        </w:rPr>
        <w:t>, на основании приказов №</w:t>
      </w:r>
      <w:r w:rsidR="000B5DAF" w:rsidRPr="000B5DAF">
        <w:rPr>
          <w:rFonts w:ascii="Times New Roman" w:hAnsi="Times New Roman" w:cs="Times New Roman"/>
          <w:sz w:val="28"/>
          <w:szCs w:val="28"/>
        </w:rPr>
        <w:t xml:space="preserve"> 390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5DAF" w:rsidRPr="000B5DAF">
        <w:rPr>
          <w:rFonts w:ascii="Times New Roman" w:hAnsi="Times New Roman" w:cs="Times New Roman"/>
          <w:sz w:val="28"/>
          <w:szCs w:val="28"/>
        </w:rPr>
        <w:t>22.12.2015г</w:t>
      </w:r>
      <w:r w:rsidR="000B5DAF">
        <w:rPr>
          <w:rFonts w:ascii="Times New Roman" w:hAnsi="Times New Roman" w:cs="Times New Roman"/>
          <w:sz w:val="28"/>
          <w:szCs w:val="28"/>
        </w:rPr>
        <w:t xml:space="preserve">., </w:t>
      </w:r>
      <w:r w:rsidR="00484CE4">
        <w:rPr>
          <w:rFonts w:ascii="Times New Roman" w:hAnsi="Times New Roman" w:cs="Times New Roman"/>
          <w:sz w:val="28"/>
          <w:szCs w:val="28"/>
        </w:rPr>
        <w:t xml:space="preserve">№395 от 29.12.2016г., </w:t>
      </w:r>
      <w:r w:rsidR="000B5D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B5DAF">
        <w:rPr>
          <w:rFonts w:ascii="Times New Roman" w:hAnsi="Times New Roman" w:cs="Times New Roman"/>
          <w:sz w:val="28"/>
          <w:szCs w:val="28"/>
        </w:rPr>
        <w:t xml:space="preserve"> 024-лс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5DAF">
        <w:rPr>
          <w:rFonts w:ascii="Times New Roman" w:hAnsi="Times New Roman" w:cs="Times New Roman"/>
          <w:sz w:val="28"/>
          <w:szCs w:val="28"/>
        </w:rPr>
        <w:t>24.03.2016г., № 025-лс от 24.03.2016г.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E74">
        <w:rPr>
          <w:rFonts w:ascii="Times New Roman" w:hAnsi="Times New Roman" w:cs="Times New Roman"/>
          <w:sz w:val="28"/>
          <w:szCs w:val="28"/>
        </w:rPr>
        <w:t xml:space="preserve">снять 5% от общего количества баллов педагогам Десятерик Ю.Е., </w:t>
      </w:r>
      <w:proofErr w:type="spellStart"/>
      <w:r w:rsidR="00241E74">
        <w:rPr>
          <w:rFonts w:ascii="Times New Roman" w:hAnsi="Times New Roman" w:cs="Times New Roman"/>
          <w:sz w:val="28"/>
          <w:szCs w:val="28"/>
        </w:rPr>
        <w:t>Руденковой</w:t>
      </w:r>
      <w:proofErr w:type="spellEnd"/>
      <w:r w:rsidR="00241E74">
        <w:rPr>
          <w:rFonts w:ascii="Times New Roman" w:hAnsi="Times New Roman" w:cs="Times New Roman"/>
          <w:sz w:val="28"/>
          <w:szCs w:val="28"/>
        </w:rPr>
        <w:t xml:space="preserve"> Л.К., Носач И.А., </w:t>
      </w:r>
      <w:r w:rsidR="000B5DAF">
        <w:rPr>
          <w:rFonts w:ascii="Times New Roman" w:hAnsi="Times New Roman" w:cs="Times New Roman"/>
          <w:sz w:val="28"/>
          <w:szCs w:val="28"/>
        </w:rPr>
        <w:t xml:space="preserve">Ромащенко Е.В., </w:t>
      </w:r>
      <w:r w:rsidR="00241E74">
        <w:rPr>
          <w:rFonts w:ascii="Times New Roman" w:hAnsi="Times New Roman" w:cs="Times New Roman"/>
          <w:sz w:val="28"/>
          <w:szCs w:val="28"/>
        </w:rPr>
        <w:t>за наличие дисциплинарного взыскания в виде замечания</w:t>
      </w:r>
      <w:r w:rsidR="005B449D">
        <w:rPr>
          <w:rFonts w:ascii="Times New Roman" w:hAnsi="Times New Roman" w:cs="Times New Roman"/>
          <w:sz w:val="28"/>
          <w:szCs w:val="28"/>
        </w:rPr>
        <w:t xml:space="preserve"> (на 4.07.2016 дисциплинарные взыскания не сняты)</w:t>
      </w:r>
      <w:r w:rsidR="00241E74">
        <w:rPr>
          <w:rFonts w:ascii="Times New Roman" w:hAnsi="Times New Roman" w:cs="Times New Roman"/>
          <w:sz w:val="28"/>
          <w:szCs w:val="28"/>
        </w:rPr>
        <w:t>.</w:t>
      </w:r>
    </w:p>
    <w:p w:rsidR="00AF7133" w:rsidRDefault="00241E74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 xml:space="preserve">Установить за </w:t>
      </w:r>
      <w:r w:rsidR="00A02ECF">
        <w:rPr>
          <w:rFonts w:ascii="Times New Roman" w:hAnsi="Times New Roman" w:cs="Times New Roman"/>
          <w:sz w:val="28"/>
          <w:szCs w:val="28"/>
        </w:rPr>
        <w:t>апрель-июнь</w:t>
      </w:r>
      <w:r w:rsidRPr="00AF7133">
        <w:rPr>
          <w:rFonts w:ascii="Times New Roman" w:hAnsi="Times New Roman" w:cs="Times New Roman"/>
          <w:sz w:val="28"/>
          <w:szCs w:val="28"/>
        </w:rPr>
        <w:t xml:space="preserve"> 2016 г. цену за 1 балл в размере </w:t>
      </w:r>
      <w:r w:rsidR="003E69CA">
        <w:rPr>
          <w:rFonts w:ascii="Times New Roman" w:hAnsi="Times New Roman" w:cs="Times New Roman"/>
          <w:sz w:val="28"/>
          <w:szCs w:val="28"/>
        </w:rPr>
        <w:t>20</w:t>
      </w:r>
      <w:r w:rsidR="000422A7">
        <w:rPr>
          <w:rFonts w:ascii="Times New Roman" w:hAnsi="Times New Roman" w:cs="Times New Roman"/>
          <w:sz w:val="28"/>
          <w:szCs w:val="28"/>
        </w:rPr>
        <w:t>,</w:t>
      </w:r>
      <w:r w:rsidR="003E69CA" w:rsidRPr="003E69CA">
        <w:rPr>
          <w:rFonts w:ascii="Times New Roman" w:hAnsi="Times New Roman" w:cs="Times New Roman"/>
          <w:sz w:val="28"/>
          <w:szCs w:val="28"/>
        </w:rPr>
        <w:t>84</w:t>
      </w:r>
      <w:r w:rsidRPr="003E69C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AF7133">
        <w:rPr>
          <w:rFonts w:ascii="Times New Roman" w:hAnsi="Times New Roman" w:cs="Times New Roman"/>
          <w:sz w:val="28"/>
          <w:szCs w:val="28"/>
        </w:rPr>
        <w:t xml:space="preserve"> исходя из общей суммы баллов, набранной коллективом – </w:t>
      </w:r>
      <w:r w:rsidR="003E69CA">
        <w:rPr>
          <w:rFonts w:ascii="Times New Roman" w:hAnsi="Times New Roman" w:cs="Times New Roman"/>
          <w:sz w:val="28"/>
          <w:szCs w:val="28"/>
        </w:rPr>
        <w:t>9596</w:t>
      </w:r>
      <w:r w:rsidR="000422A7">
        <w:rPr>
          <w:rFonts w:ascii="Times New Roman" w:hAnsi="Times New Roman" w:cs="Times New Roman"/>
          <w:sz w:val="28"/>
          <w:szCs w:val="28"/>
        </w:rPr>
        <w:t xml:space="preserve"> </w:t>
      </w:r>
      <w:r w:rsidRPr="00AF7133">
        <w:rPr>
          <w:rFonts w:ascii="Times New Roman" w:hAnsi="Times New Roman" w:cs="Times New Roman"/>
          <w:sz w:val="28"/>
          <w:szCs w:val="28"/>
        </w:rPr>
        <w:t>баллов</w:t>
      </w:r>
      <w:r w:rsidR="000422A7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551"/>
        <w:gridCol w:w="1130"/>
        <w:gridCol w:w="1422"/>
      </w:tblGrid>
      <w:tr w:rsidR="00C42F5C" w:rsidRPr="002E7C8E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E7C8E" w:rsidRDefault="00C42F5C" w:rsidP="002E7C8E">
            <w:pPr>
              <w:suppressLineNumbers/>
              <w:ind w:left="149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E7C8E">
              <w:rPr>
                <w:rFonts w:ascii="Times New Roman" w:hAnsi="Times New Roman" w:cs="Times New Roman"/>
                <w:b/>
                <w:sz w:val="22"/>
                <w:szCs w:val="26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E7C8E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E7C8E">
              <w:rPr>
                <w:rFonts w:ascii="Times New Roman" w:hAnsi="Times New Roman" w:cs="Times New Roman"/>
                <w:b/>
                <w:sz w:val="22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E7C8E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E7C8E">
              <w:rPr>
                <w:rFonts w:ascii="Times New Roman" w:hAnsi="Times New Roman" w:cs="Times New Roman"/>
                <w:b/>
                <w:sz w:val="22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E7C8E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E7C8E"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E7C8E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E7C8E">
              <w:rPr>
                <w:rFonts w:ascii="Times New Roman" w:hAnsi="Times New Roman" w:cs="Times New Roman"/>
                <w:b/>
                <w:sz w:val="22"/>
                <w:szCs w:val="26"/>
              </w:rPr>
              <w:t>Сумма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AF7133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41668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3417,76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6793,84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Вихляева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6418,72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едагог </w:t>
            </w:r>
            <w:r w:rsidRPr="002C3D2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>п. обр.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3480,28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5626,80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Десятерик Ю.Е.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A02ECF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7898,36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9440,52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5335,04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Журбина Г.П.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8898,68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Зерщикова М.Л.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708,56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1667,20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9232,12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4605,64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C3D28">
              <w:rPr>
                <w:rFonts w:ascii="Times New Roman" w:hAnsi="Times New Roman" w:cs="Times New Roman"/>
                <w:color w:val="000000"/>
              </w:rPr>
              <w:t>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4980,76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Носач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5210,00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2188,20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2917,60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Ю.А.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2354,92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937,80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3E69C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</w:t>
            </w:r>
            <w:r w:rsidR="003E69CA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2834,24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11774,6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Руденкова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Л.К.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A02ECF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10628,40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16526,12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6043,60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8461,04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Фахрутдинова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5585,12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5210,00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4251,36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7148,12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Черкасова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9919,84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C3D28">
              <w:rPr>
                <w:rFonts w:ascii="Times New Roman" w:hAnsi="Times New Roman" w:cs="Times New Roman"/>
                <w:color w:val="000000"/>
              </w:rPr>
              <w:t>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7023,08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Чурсин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2E7C8E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8294,32</w:t>
            </w:r>
          </w:p>
        </w:tc>
      </w:tr>
      <w:tr w:rsidR="008847CD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7CD" w:rsidRPr="002C3D28" w:rsidRDefault="008847CD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7CD" w:rsidRPr="002C3D28" w:rsidRDefault="008847CD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D" w:rsidRPr="002C3D28" w:rsidRDefault="008847CD" w:rsidP="00DC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7CD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D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1021,16</w:t>
            </w:r>
          </w:p>
        </w:tc>
      </w:tr>
      <w:tr w:rsidR="008847CD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7CD" w:rsidRPr="002C3D28" w:rsidRDefault="008847CD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7CD" w:rsidRDefault="008847CD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Жук С.В.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D" w:rsidRDefault="008847CD" w:rsidP="00DC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7CD" w:rsidRDefault="008847CD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D" w:rsidRPr="002C3D28" w:rsidRDefault="003E69CA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3146,84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D34537" w:rsidRDefault="00C42F5C" w:rsidP="00D34537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3E69CA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9596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046EFD" w:rsidRDefault="002E7C8E" w:rsidP="00046EF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199980,64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</w:tr>
    </w:tbl>
    <w:p w:rsidR="00C67154" w:rsidRPr="00D264AF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 Грищенко Л.М.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Скрипка Т.В.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Фоменко В.Н.</w:t>
      </w:r>
    </w:p>
    <w:sectPr w:rsidR="00D34537" w:rsidSect="002E7C8E">
      <w:pgSz w:w="12240" w:h="15840"/>
      <w:pgMar w:top="851" w:right="85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B2" w:rsidRDefault="006448B2">
      <w:r>
        <w:separator/>
      </w:r>
    </w:p>
  </w:endnote>
  <w:endnote w:type="continuationSeparator" w:id="0">
    <w:p w:rsidR="006448B2" w:rsidRDefault="0064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B2" w:rsidRDefault="006448B2">
      <w:r>
        <w:separator/>
      </w:r>
    </w:p>
  </w:footnote>
  <w:footnote w:type="continuationSeparator" w:id="0">
    <w:p w:rsidR="006448B2" w:rsidRDefault="0064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2A39"/>
    <w:multiLevelType w:val="hybridMultilevel"/>
    <w:tmpl w:val="8C28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0644"/>
    <w:rsid w:val="000422A7"/>
    <w:rsid w:val="000459D4"/>
    <w:rsid w:val="00046EFD"/>
    <w:rsid w:val="00077EFC"/>
    <w:rsid w:val="0008667B"/>
    <w:rsid w:val="00090C1F"/>
    <w:rsid w:val="0009553B"/>
    <w:rsid w:val="000B5DAF"/>
    <w:rsid w:val="00106462"/>
    <w:rsid w:val="001529C8"/>
    <w:rsid w:val="001561E5"/>
    <w:rsid w:val="00175F2A"/>
    <w:rsid w:val="001B00DA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2E7C8E"/>
    <w:rsid w:val="00305A3C"/>
    <w:rsid w:val="00306DEF"/>
    <w:rsid w:val="00307678"/>
    <w:rsid w:val="00323AA5"/>
    <w:rsid w:val="003837D2"/>
    <w:rsid w:val="00385201"/>
    <w:rsid w:val="003D1189"/>
    <w:rsid w:val="003D2B62"/>
    <w:rsid w:val="003E0D8D"/>
    <w:rsid w:val="003E69CA"/>
    <w:rsid w:val="00405512"/>
    <w:rsid w:val="00415A9D"/>
    <w:rsid w:val="00416644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B449D"/>
    <w:rsid w:val="005F686E"/>
    <w:rsid w:val="00601F44"/>
    <w:rsid w:val="0061441E"/>
    <w:rsid w:val="006448B2"/>
    <w:rsid w:val="00654F5C"/>
    <w:rsid w:val="0067027F"/>
    <w:rsid w:val="00675575"/>
    <w:rsid w:val="006917D9"/>
    <w:rsid w:val="006D5B17"/>
    <w:rsid w:val="00726631"/>
    <w:rsid w:val="00732795"/>
    <w:rsid w:val="0073765F"/>
    <w:rsid w:val="007804B3"/>
    <w:rsid w:val="00790ACF"/>
    <w:rsid w:val="007939E5"/>
    <w:rsid w:val="007A3099"/>
    <w:rsid w:val="007F104E"/>
    <w:rsid w:val="007F6D4F"/>
    <w:rsid w:val="00806FE8"/>
    <w:rsid w:val="008155F3"/>
    <w:rsid w:val="00824645"/>
    <w:rsid w:val="008311E6"/>
    <w:rsid w:val="008418AC"/>
    <w:rsid w:val="008842BD"/>
    <w:rsid w:val="008847C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A02ECF"/>
    <w:rsid w:val="00A053DD"/>
    <w:rsid w:val="00A07DCB"/>
    <w:rsid w:val="00A3746C"/>
    <w:rsid w:val="00A535FA"/>
    <w:rsid w:val="00A756A8"/>
    <w:rsid w:val="00A80928"/>
    <w:rsid w:val="00A80F48"/>
    <w:rsid w:val="00AB473C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B2970"/>
    <w:rsid w:val="00BD7D18"/>
    <w:rsid w:val="00BE3543"/>
    <w:rsid w:val="00C00820"/>
    <w:rsid w:val="00C253F3"/>
    <w:rsid w:val="00C36918"/>
    <w:rsid w:val="00C42F5C"/>
    <w:rsid w:val="00C50122"/>
    <w:rsid w:val="00C67154"/>
    <w:rsid w:val="00C759B4"/>
    <w:rsid w:val="00CA1CE8"/>
    <w:rsid w:val="00CA2116"/>
    <w:rsid w:val="00CA51BB"/>
    <w:rsid w:val="00D066D3"/>
    <w:rsid w:val="00D264AF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345CC"/>
    <w:rsid w:val="00E34D22"/>
    <w:rsid w:val="00E61F55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4C27-180D-43DD-B903-B67D9A42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Учитель</cp:lastModifiedBy>
  <cp:revision>2</cp:revision>
  <cp:lastPrinted>2016-07-04T16:46:00Z</cp:lastPrinted>
  <dcterms:created xsi:type="dcterms:W3CDTF">2016-07-06T19:10:00Z</dcterms:created>
  <dcterms:modified xsi:type="dcterms:W3CDTF">2016-07-06T19:10:00Z</dcterms:modified>
</cp:coreProperties>
</file>