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6869" w:type="dxa"/>
        <w:tblInd w:w="-45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E599" w:themeFill="accent4" w:themeFillTint="66"/>
        <w:tblLook w:val="04A0"/>
      </w:tblPr>
      <w:tblGrid>
        <w:gridCol w:w="5670"/>
        <w:gridCol w:w="5670"/>
        <w:gridCol w:w="5529"/>
      </w:tblGrid>
      <w:tr w:rsidR="00E0086C" w:rsidTr="00824ECC">
        <w:trPr>
          <w:trHeight w:val="23625"/>
        </w:trPr>
        <w:tc>
          <w:tcPr>
            <w:tcW w:w="5670" w:type="dxa"/>
            <w:shd w:val="clear" w:color="auto" w:fill="FF99CC"/>
          </w:tcPr>
          <w:p w:rsidR="00852C3E" w:rsidRPr="008762FD" w:rsidRDefault="00852C3E" w:rsidP="00922C9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762FD" w:rsidRDefault="008762FD" w:rsidP="008762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762F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Иппотерапия </w:t>
            </w:r>
          </w:p>
          <w:p w:rsidR="008762FD" w:rsidRPr="008762FD" w:rsidRDefault="008762FD" w:rsidP="008762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52C3E" w:rsidRPr="0055361B" w:rsidRDefault="0055361B" w:rsidP="0055361B">
            <w:pPr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222" cy="3986068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948" cy="4015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C3E" w:rsidRDefault="0085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3E" w:rsidRDefault="00852C3E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FD" w:rsidRDefault="0055361B" w:rsidP="0055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FD">
              <w:rPr>
                <w:rFonts w:ascii="Times New Roman" w:hAnsi="Times New Roman" w:cs="Times New Roman"/>
                <w:sz w:val="28"/>
                <w:szCs w:val="28"/>
              </w:rPr>
              <w:t xml:space="preserve">Иппотерапия- </w:t>
            </w:r>
          </w:p>
          <w:p w:rsidR="00852C3E" w:rsidRPr="008762FD" w:rsidRDefault="0055361B" w:rsidP="0055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FD">
              <w:rPr>
                <w:rFonts w:ascii="Times New Roman" w:hAnsi="Times New Roman" w:cs="Times New Roman"/>
                <w:sz w:val="28"/>
                <w:szCs w:val="28"/>
              </w:rPr>
              <w:t>это метод реабилитации посредством адаптивной верховой езды.</w:t>
            </w:r>
          </w:p>
          <w:p w:rsidR="00852C3E" w:rsidRDefault="00852C3E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DD" w:rsidRDefault="004F7FDD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DD" w:rsidRDefault="004F7FDD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DD" w:rsidRDefault="004F7FDD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DD" w:rsidRDefault="004F7FDD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6C" w:rsidRPr="00373CBD" w:rsidRDefault="00E0086C" w:rsidP="00E0086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73CB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Кому полезна </w:t>
            </w:r>
            <w:proofErr w:type="spellStart"/>
            <w:r w:rsidRPr="00373CB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иппотерапии</w:t>
            </w:r>
            <w:proofErr w:type="spellEnd"/>
            <w:r w:rsidRPr="00373CB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?</w:t>
            </w:r>
          </w:p>
          <w:p w:rsidR="00ED7AB2" w:rsidRPr="00E0086C" w:rsidRDefault="00ED7AB2" w:rsidP="00852C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F12" w:rsidRPr="00485D32" w:rsidRDefault="008D13D7" w:rsidP="0087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Иппотерапия полезна детям с </w:t>
            </w:r>
            <w:r w:rsidR="00610756" w:rsidRPr="00485D32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иями</w:t>
            </w:r>
          </w:p>
          <w:p w:rsidR="008762FD" w:rsidRPr="00485D32" w:rsidRDefault="008762FD" w:rsidP="0087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опорно-</w:t>
            </w:r>
            <w:r w:rsidR="00610756" w:rsidRPr="00485D32">
              <w:rPr>
                <w:rFonts w:ascii="Times New Roman" w:hAnsi="Times New Roman" w:cs="Times New Roman"/>
                <w:sz w:val="28"/>
                <w:szCs w:val="28"/>
              </w:rPr>
              <w:t>двигательн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0756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r w:rsidR="00F1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4A79">
              <w:rPr>
                <w:rFonts w:ascii="Times New Roman" w:hAnsi="Times New Roman" w:cs="Times New Roman"/>
                <w:sz w:val="28"/>
                <w:szCs w:val="28"/>
              </w:rPr>
              <w:t>сколиозе</w:t>
            </w:r>
            <w:proofErr w:type="gramEnd"/>
            <w:r w:rsidR="00F14A79">
              <w:rPr>
                <w:rFonts w:ascii="Times New Roman" w:hAnsi="Times New Roman" w:cs="Times New Roman"/>
                <w:sz w:val="28"/>
                <w:szCs w:val="28"/>
              </w:rPr>
              <w:t xml:space="preserve">; артрозе сустава; нормализует мышечный тонус; улучшат координацию движений;  укрепляет мышцы и даже улучшает походку. </w:t>
            </w:r>
          </w:p>
          <w:p w:rsidR="008762FD" w:rsidRDefault="008762FD" w:rsidP="0087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2FD" w:rsidRDefault="008762FD" w:rsidP="0087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2FD" w:rsidRDefault="008762FD" w:rsidP="00014F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4F12" w:rsidRPr="00014F12" w:rsidRDefault="00265FA4" w:rsidP="00F1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889" cy="2663687"/>
                  <wp:effectExtent l="19050" t="0" r="9111" b="0"/>
                  <wp:docPr id="1" name="Рисунок 3" descr="C:\Users\Администратор\AppData\Local\Microsoft\Windows\INetCache\Content.Word\6nG_EJikT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AppData\Local\Microsoft\Windows\INetCache\Content.Word\6nG_EJikT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16" cy="267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12" w:rsidRPr="00014F12" w:rsidRDefault="00014F12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12" w:rsidRPr="00014F12" w:rsidRDefault="00014F12" w:rsidP="0085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B2" w:rsidRPr="008D13D7" w:rsidRDefault="00ED7AB2" w:rsidP="00ED7AB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0" w:type="dxa"/>
            <w:shd w:val="clear" w:color="auto" w:fill="F7CAAC" w:themeFill="accent2" w:themeFillTint="66"/>
          </w:tcPr>
          <w:p w:rsidR="00014F12" w:rsidRDefault="00014F12" w:rsidP="00ED7A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F12" w:rsidRDefault="001829DB" w:rsidP="00182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9369" cy="3425825"/>
                  <wp:effectExtent l="19050" t="0" r="2381" b="0"/>
                  <wp:docPr id="2" name="Рисунок 1" descr="https://sun9-29.userapi.com/c857228/v857228606/1221f2/uhRxe91Xs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9.userapi.com/c857228/v857228606/1221f2/uhRxe91Xs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70" cy="343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A79" w:rsidRPr="0055251A" w:rsidRDefault="00F14A79" w:rsidP="001829DB">
            <w:pPr>
              <w:pStyle w:val="a9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F14A79" w:rsidRPr="0055251A" w:rsidRDefault="00F14A79" w:rsidP="00F14A79">
            <w:pPr>
              <w:pStyle w:val="a9"/>
              <w:tabs>
                <w:tab w:val="left" w:leader="underscore" w:pos="11764"/>
              </w:tabs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Алина</w:t>
            </w: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A49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>» кл</w:t>
            </w:r>
            <w:r w:rsidR="003A4950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A79" w:rsidRDefault="00F14A79" w:rsidP="00F14A79">
            <w:pPr>
              <w:pStyle w:val="a9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50" w:rsidRDefault="00F14A79" w:rsidP="003A4950">
            <w:pPr>
              <w:pStyle w:val="a9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1A">
              <w:rPr>
                <w:rFonts w:ascii="Times New Roman" w:hAnsi="Times New Roman" w:cs="Times New Roman"/>
                <w:sz w:val="28"/>
                <w:szCs w:val="28"/>
              </w:rPr>
              <w:t>Научные руководите</w:t>
            </w:r>
            <w:r w:rsidR="003A4950"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</w:p>
          <w:p w:rsidR="00F14A79" w:rsidRPr="0055251A" w:rsidRDefault="003A4950" w:rsidP="003A4950">
            <w:pPr>
              <w:pStyle w:val="a9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  <w:r w:rsidR="00F14A79" w:rsidRPr="00552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A79" w:rsidRPr="0055251A" w:rsidRDefault="005366B6" w:rsidP="00F14A79">
            <w:pPr>
              <w:pStyle w:val="a9"/>
              <w:tabs>
                <w:tab w:val="left" w:leader="underscore" w:pos="11764"/>
              </w:tabs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4950">
              <w:rPr>
                <w:rFonts w:ascii="Times New Roman" w:hAnsi="Times New Roman" w:cs="Times New Roman"/>
                <w:sz w:val="28"/>
                <w:szCs w:val="28"/>
              </w:rPr>
              <w:t>читель биологии</w:t>
            </w:r>
          </w:p>
          <w:p w:rsidR="00F14A79" w:rsidRDefault="00F14A79" w:rsidP="00F14A79">
            <w:pPr>
              <w:pStyle w:val="a9"/>
              <w:tabs>
                <w:tab w:val="left" w:leader="underscore" w:pos="11764"/>
              </w:tabs>
              <w:ind w:left="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4F12" w:rsidRDefault="00014F12" w:rsidP="00F14A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F12" w:rsidRDefault="00014F12" w:rsidP="00ED7A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F12" w:rsidRDefault="00014F12" w:rsidP="00ED7A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F12" w:rsidRPr="003A4950" w:rsidRDefault="00014F12" w:rsidP="00E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12" w:rsidRPr="003A4950" w:rsidRDefault="003A4950" w:rsidP="003A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50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  <w:p w:rsidR="003A4950" w:rsidRPr="003A4950" w:rsidRDefault="003A4950" w:rsidP="003A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5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14F12" w:rsidRDefault="00014F12" w:rsidP="003A495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73CB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Система:</w:t>
            </w:r>
          </w:p>
          <w:p w:rsidR="00373CBD" w:rsidRPr="00485D32" w:rsidRDefault="00373CBD" w:rsidP="0037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Опираясь то на левую, то на правую пару ног лошадь передаёт всаднику движения из стороны в сторону. Момент поднимания и опускания пары ног передаёт всаднику движение вверх-вниз. Движение бедра лошади со стороны вперёд обуславливает для всадника альтернативные вращательные движения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Эти движения лошади переносятся на среднюю позу сидячего человека, его тазобедренный сустав и пояснично-позвоночный стол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имитиру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стимулиру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которые совершает здоровый человек при ходьбе, т.е. при сидени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на неосёдланной лошади свободная езда верхом представляет собою типичную тренировку туловища. Ез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да на лошади позволяет не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ходячим детям пережить опыт </w:t>
            </w:r>
            <w:proofErr w:type="spellStart"/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прямохождения</w:t>
            </w:r>
            <w:proofErr w:type="spellEnd"/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. При регулярных занятиях начинают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мышцы, в 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головно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мозг</w:t>
            </w:r>
            <w:r w:rsidR="008762FD" w:rsidRPr="00485D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стереотип </w:t>
            </w:r>
            <w:proofErr w:type="spellStart"/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прямохождения</w:t>
            </w:r>
            <w:proofErr w:type="spellEnd"/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CBD" w:rsidRPr="00373CBD" w:rsidRDefault="00373CBD" w:rsidP="00373C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FFE599" w:themeFill="accent4" w:themeFillTint="66"/>
          </w:tcPr>
          <w:p w:rsidR="00605911" w:rsidRDefault="00DE6B0D" w:rsidP="00605911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DE6B0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 xml:space="preserve">Спасённые </w:t>
            </w:r>
            <w:r w:rsidR="00605911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дети!</w:t>
            </w:r>
          </w:p>
          <w:p w:rsidR="005366B6" w:rsidRDefault="00605911" w:rsidP="005366B6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июне 2004</w:t>
            </w:r>
            <w:r w:rsidR="004F7FD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E6B0D" w:rsidRDefault="004F7FDD" w:rsidP="005366B6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принесли на руках четырёх</w:t>
            </w:r>
            <w:r w:rsidR="00605911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Андрюшку в группу.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не видел, не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ял, не владел руками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. Врач Мерзляков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посоветова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обратится</w:t>
            </w:r>
            <w:proofErr w:type="gramEnd"/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6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конно-спортивный комплекс.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встал на ноги уже через два с половиной месяца занятий. Ещё спустя неделю он стал разжимать ручки, начал самостоятельно кушать яблоки, печенье. Во время езды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стал держаться за ручку гурта и сидеть верхом самостоятельно. 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уже топал почти самостоятельно, сам кушал ложкой, держал чашку, и комиссия 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направила его в детский сад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 xml:space="preserve"> через пол </w:t>
            </w:r>
            <w:r w:rsidR="00536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года после начала занятий. Почти в пять лет он увидел окружающий его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сфокусировалось зрение</w:t>
            </w:r>
            <w:r w:rsidR="00DE6B0D" w:rsidRPr="00DE6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32" w:rsidRPr="00605911" w:rsidRDefault="00485D32" w:rsidP="005366B6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4F7FDD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Настя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Виолетта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Ксюша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Маша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Руслан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Арина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Марго</w:t>
            </w:r>
          </w:p>
          <w:p w:rsidR="00485D32" w:rsidRPr="00485D32" w:rsidRDefault="00485D32" w:rsidP="005366B6">
            <w:pPr>
              <w:pStyle w:val="a8"/>
              <w:numPr>
                <w:ilvl w:val="0"/>
                <w:numId w:val="4"/>
              </w:num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i/>
                <w:sz w:val="28"/>
                <w:szCs w:val="28"/>
              </w:rPr>
              <w:t>Юра</w:t>
            </w:r>
          </w:p>
          <w:p w:rsidR="00485D32" w:rsidRPr="00485D32" w:rsidRDefault="00485D32" w:rsidP="005366B6">
            <w:pPr>
              <w:pStyle w:val="a8"/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3CBD" w:rsidRPr="00265FA4" w:rsidRDefault="00265FA4" w:rsidP="00485D32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65FA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Геро</w:t>
            </w:r>
            <w:r w:rsidR="004F7FD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й </w:t>
            </w:r>
            <w:r w:rsidRPr="00265FA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Таганрога: </w:t>
            </w:r>
            <w:r w:rsidRPr="00265FA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Персик!</w:t>
            </w:r>
          </w:p>
          <w:p w:rsidR="00545997" w:rsidRPr="00485D32" w:rsidRDefault="00DE6B0D" w:rsidP="0054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Персик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стал специалистом в области </w:t>
            </w:r>
            <w:proofErr w:type="spellStart"/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>иппотерапии</w:t>
            </w:r>
            <w:proofErr w:type="spellEnd"/>
            <w:r w:rsidR="00545997" w:rsidRPr="00485D32">
              <w:rPr>
                <w:rFonts w:ascii="Times New Roman" w:hAnsi="Times New Roman" w:cs="Times New Roman"/>
                <w:sz w:val="28"/>
                <w:szCs w:val="28"/>
              </w:rPr>
              <w:t>. При работе нет необходимости строго следить за ним, повод всегда опущен, потому что пони сам чувствует ребёнка и выбирает темп для работы.</w:t>
            </w:r>
          </w:p>
          <w:p w:rsidR="00545997" w:rsidRPr="00485D32" w:rsidRDefault="00545997" w:rsidP="0054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>аждого ребёнка он ве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>ёт в разном темпе, одних детей он возит по прямой, а других по кругу. Если ребёнок лежит на нём, он ве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>ёт его очень осторожно, а если ребёнок расслаблен, не хочет держать равновесие, то Персик ускоряет шаг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делает маленькие, но быстрые шаги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 переходя в рысь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Такие дети вынуждены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напряга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 ножки и начина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 xml:space="preserve">т работать спиной, чтобы удержаться </w:t>
            </w:r>
            <w:r w:rsidRPr="00485D32">
              <w:rPr>
                <w:rFonts w:ascii="Times New Roman" w:hAnsi="Times New Roman" w:cs="Times New Roman"/>
                <w:sz w:val="28"/>
                <w:szCs w:val="28"/>
              </w:rPr>
              <w:t>на пони</w:t>
            </w:r>
            <w:r w:rsidR="00265FA4" w:rsidRPr="00485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CBD" w:rsidRDefault="00373CBD" w:rsidP="0054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B2" w:rsidRPr="00852C3E" w:rsidRDefault="00ED7AB2" w:rsidP="001701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AB2" w:rsidRPr="00852C3E" w:rsidSect="00265FA4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01" w:rsidRDefault="00170101" w:rsidP="00170101">
      <w:pPr>
        <w:spacing w:after="0" w:line="240" w:lineRule="auto"/>
      </w:pPr>
      <w:r>
        <w:separator/>
      </w:r>
    </w:p>
  </w:endnote>
  <w:endnote w:type="continuationSeparator" w:id="0">
    <w:p w:rsidR="00170101" w:rsidRDefault="00170101" w:rsidP="0017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01" w:rsidRDefault="00170101" w:rsidP="00170101">
      <w:pPr>
        <w:spacing w:after="0" w:line="240" w:lineRule="auto"/>
      </w:pPr>
      <w:r>
        <w:separator/>
      </w:r>
    </w:p>
  </w:footnote>
  <w:footnote w:type="continuationSeparator" w:id="0">
    <w:p w:rsidR="00170101" w:rsidRDefault="00170101" w:rsidP="0017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A58"/>
    <w:multiLevelType w:val="hybridMultilevel"/>
    <w:tmpl w:val="40E02C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D4D38"/>
    <w:multiLevelType w:val="hybridMultilevel"/>
    <w:tmpl w:val="488C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B7B57"/>
    <w:multiLevelType w:val="hybridMultilevel"/>
    <w:tmpl w:val="39E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37"/>
    <w:rsid w:val="00014F12"/>
    <w:rsid w:val="00170101"/>
    <w:rsid w:val="001829DB"/>
    <w:rsid w:val="00186354"/>
    <w:rsid w:val="00257A07"/>
    <w:rsid w:val="00265FA4"/>
    <w:rsid w:val="0028315D"/>
    <w:rsid w:val="00330A3B"/>
    <w:rsid w:val="0036307A"/>
    <w:rsid w:val="00373CBD"/>
    <w:rsid w:val="003A4950"/>
    <w:rsid w:val="003D37D6"/>
    <w:rsid w:val="00455439"/>
    <w:rsid w:val="00485D32"/>
    <w:rsid w:val="004F7FDD"/>
    <w:rsid w:val="005366B6"/>
    <w:rsid w:val="00545997"/>
    <w:rsid w:val="0055361B"/>
    <w:rsid w:val="0059326D"/>
    <w:rsid w:val="00605911"/>
    <w:rsid w:val="00610756"/>
    <w:rsid w:val="00717FD4"/>
    <w:rsid w:val="007F4637"/>
    <w:rsid w:val="00824ECC"/>
    <w:rsid w:val="00852C3E"/>
    <w:rsid w:val="008762FD"/>
    <w:rsid w:val="00891613"/>
    <w:rsid w:val="008D13D7"/>
    <w:rsid w:val="00922C9A"/>
    <w:rsid w:val="00AF7EF2"/>
    <w:rsid w:val="00DE6B0D"/>
    <w:rsid w:val="00E0086C"/>
    <w:rsid w:val="00ED7AB2"/>
    <w:rsid w:val="00EE2FE5"/>
    <w:rsid w:val="00F14A79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852C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361B"/>
    <w:rPr>
      <w:b/>
      <w:bCs/>
    </w:rPr>
  </w:style>
  <w:style w:type="paragraph" w:styleId="a7">
    <w:name w:val="No Spacing"/>
    <w:uiPriority w:val="1"/>
    <w:qFormat/>
    <w:rsid w:val="0055361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361B"/>
    <w:pPr>
      <w:ind w:left="720"/>
      <w:contextualSpacing/>
    </w:pPr>
  </w:style>
  <w:style w:type="paragraph" w:styleId="a9">
    <w:name w:val="Body Text"/>
    <w:basedOn w:val="a"/>
    <w:link w:val="aa"/>
    <w:rsid w:val="00F14A79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F14A7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17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101"/>
  </w:style>
  <w:style w:type="paragraph" w:styleId="ad">
    <w:name w:val="footer"/>
    <w:basedOn w:val="a"/>
    <w:link w:val="ae"/>
    <w:uiPriority w:val="99"/>
    <w:unhideWhenUsed/>
    <w:rsid w:val="0017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</cp:lastModifiedBy>
  <cp:revision>15</cp:revision>
  <dcterms:created xsi:type="dcterms:W3CDTF">2020-02-18T12:35:00Z</dcterms:created>
  <dcterms:modified xsi:type="dcterms:W3CDTF">2020-03-19T17:09:00Z</dcterms:modified>
</cp:coreProperties>
</file>